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28.png" ContentType="image/png"/>
  <Override PartName="/word/media/rId116.png" ContentType="image/png"/>
  <Override PartName="/word/media/rId124.png" ContentType="image/png"/>
  <Override PartName="/word/media/rId120.png" ContentType="image/png"/>
  <Override PartName="/word/media/rId26.png" ContentType="image/png"/>
  <Override PartName="/word/media/rId140.png" ContentType="image/png"/>
  <Override PartName="/word/media/rId9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29-04-2024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 Table 1).</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3"/>
    <w:bookmarkStart w:id="53" w:name="project-overview"/>
    <w:p>
      <w:pPr>
        <w:pStyle w:val="Heading1"/>
      </w:pPr>
      <w:r>
        <w:t xml:space="preserve">Project Overview</w:t>
      </w:r>
    </w:p>
    <w:bookmarkStart w:id="24"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r>
        <w:t xml:space="preserve">‘</w:t>
      </w:r>
      <w:r>
        <w:t xml:space="preserve">Planning Team</w:t>
      </w:r>
      <w:r>
        <w:t xml:space="preserve">’</w:t>
      </w:r>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 Mazany-Wright et al. (2021).</w:t>
      </w:r>
    </w:p>
    <w:bookmarkEnd w:id="24"/>
    <w:bookmarkStart w:id="25"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5"/>
    <w:bookmarkStart w:id="36" w:name="project-scope"/>
    <w:p>
      <w:pPr>
        <w:pStyle w:val="Heading2"/>
      </w:pPr>
      <w:r>
        <w:t xml:space="preserve">Project Scope</w:t>
      </w:r>
    </w:p>
    <w:p>
      <w:pPr>
        <w:pStyle w:val="FirstParagraph"/>
      </w:pPr>
      <w:r>
        <w:t xml:space="preserve">The primary geographic scope of this WCRP is the Lower Nicola River watershed, located in the Thompson drainage basin of the Fraser River system in south-central British Columbia with a drainage area of 376,064 ha (Figure 1).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(Mazany-Wright et al. 2021b). Culturally and economically important populations of Chinook Salmon (Oncorhynchus tshawtyscha), Coho Salmon (Oncorhynchus kisutch), and Steelhead (Oncorhynchus mykiss) are all found in the watershed, which historically supported Indigenous sustenance and trading economies (Table 3; Lower Nicola Indian Band 2015, ESSA 2019, Coldwater Band 2021).</w:t>
      </w:r>
    </w:p>
    <w:tbl>
      <w:tblPr>
        <w:tblStyle w:val="Table"/>
        <w:tblW w:type="pct" w:w="5000"/>
        <w:tblLook w:firstRow="0" w:lastRow="0" w:firstColumn="0" w:lastColumn="0" w:noHBand="0" w:noVBand="0" w:val="0000"/>
        <w:jc w:val="start"/>
      </w:tblPr>
      <w:tblGrid>
        <w:gridCol w:w="7920"/>
      </w:tblGrid>
      <w:tr>
        <w:tc>
          <w:tcPr/>
          <w:bookmarkStart w:id="29" w:name="fig-geoscope"/>
          <w:p>
            <w:pPr>
              <w:jc w:val="center"/>
            </w:pPr>
            <w:r>
              <w:drawing>
                <wp:inline>
                  <wp:extent cx="5334000" cy="3602845"/>
                  <wp:effectExtent b="0" l="0" r="0" t="0"/>
                  <wp:docPr descr="" title="" id="27" name="Picture"/>
                  <a:graphic>
                    <a:graphicData uri="http://schemas.openxmlformats.org/drawingml/2006/picture">
                      <pic:pic>
                        <pic:nvPicPr>
                          <pic:cNvPr descr="content/images/geo-scope-hors.png" id="28" name="Picture"/>
                          <pic:cNvPicPr>
                            <a:picLocks noChangeArrowheads="1" noChangeAspect="1"/>
                          </pic:cNvPicPr>
                        </pic:nvPicPr>
                        <pic:blipFill>
                          <a:blip r:embed="rId26"/>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29"/>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0">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1" w:name="tbl-targspec"/>
    <w:p>
      <w:pPr>
        <w:pStyle w:val="BodyText"/>
      </w:pPr>
      <w:r>
        <w:rPr>
          <w:bCs/>
          <w:b/>
        </w:rPr>
        <w:t xml:space="preserve">?(caption)</w:t>
      </w:r>
    </w:p>
    <w:bookmarkEnd w:id="31"/>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(Figure 2).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(Mazany-Wright et al. 2021a).</w:t>
      </w:r>
    </w:p>
    <w:p>
      <w:pPr>
        <w:pStyle w:val="BodyText"/>
      </w:pPr>
      <w:bookmarkStart w:id="35" w:name="fig-strseg"/>
      <w:r>
        <w:drawing>
          <wp:inline>
            <wp:extent cx="5334000" cy="3679247"/>
            <wp:effectExtent b="0" l="0" r="0" t="0"/>
            <wp:docPr descr="Potentially accessible stream segments within the Horsefly River watershed. These do not represent useable habitat types, but rather identifies the stream segments within which habitat modelling and barrier mapping and prioritization was undertaken." title="" id="33" name="Picture"/>
            <a:graphic>
              <a:graphicData uri="http://schemas.openxmlformats.org/drawingml/2006/picture">
                <pic:pic>
                  <pic:nvPicPr>
                    <pic:cNvPr descr="content/images/accessible-streams-hors.png" id="34" name="Picture"/>
                    <pic:cNvPicPr>
                      <a:picLocks noChangeArrowheads="1" noChangeAspect="1"/>
                    </pic:cNvPicPr>
                  </pic:nvPicPr>
                  <pic:blipFill>
                    <a:blip r:embed="rId32"/>
                    <a:stretch>
                      <a:fillRect/>
                    </a:stretch>
                  </pic:blipFill>
                  <pic:spPr bwMode="auto">
                    <a:xfrm>
                      <a:off x="0" y="0"/>
                      <a:ext cx="5334000" cy="3679247"/>
                    </a:xfrm>
                    <a:prstGeom prst="rect">
                      <a:avLst/>
                    </a:prstGeom>
                    <a:noFill/>
                    <a:ln w="9525">
                      <a:noFill/>
                      <a:headEnd/>
                      <a:tailEnd/>
                    </a:ln>
                  </pic:spPr>
                </pic:pic>
              </a:graphicData>
            </a:graphic>
          </wp:inline>
        </w:drawing>
      </w:r>
      <w:bookmarkEnd w:id="35"/>
      <w:r>
        <w:t xml:space="preserve"> </w:t>
      </w: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(Seliger &amp; Zeiringer 2018).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(ESSA 2019,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(ESSA 2019).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6"/>
    <w:bookmarkStart w:id="44"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7"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7"/>
    <w:bookmarkStart w:id="39" w:name="X04625d5f99042c224fc3f50f876987e84bbf4d8"/>
    <w:p>
      <w:pPr>
        <w:pStyle w:val="Heading3"/>
      </w:pPr>
      <w:r>
        <w:t xml:space="preserve">Chinook Salmon | Kekèsu | Oncorhynchus tshawytscha</w:t>
      </w:r>
    </w:p>
    <w:bookmarkStart w:id="38" w:name="tbl-chinook"/>
    <w:p>
      <w:pPr>
        <w:pStyle w:val="FirstParagraph"/>
      </w:pPr>
      <w:r>
        <w:rPr>
          <w:bCs/>
          <w:b/>
        </w:rPr>
        <w:t xml:space="preserve">?(caption)</w:t>
      </w:r>
    </w:p>
    <w:bookmarkEnd w:id="38"/>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39"/>
    <w:bookmarkStart w:id="41" w:name="coho-salmon-sxeyqs-oncorhynchus-kisutch"/>
    <w:p>
      <w:pPr>
        <w:pStyle w:val="Heading3"/>
      </w:pPr>
      <w:r>
        <w:t xml:space="preserve">Coho Salmon | Sxeyqs | Oncorhynchus kisutch</w:t>
      </w:r>
    </w:p>
    <w:bookmarkStart w:id="40" w:name="tbl-coho"/>
    <w:p>
      <w:pPr>
        <w:pStyle w:val="FirstParagraph"/>
      </w:pPr>
      <w:r>
        <w:rPr>
          <w:bCs/>
          <w:b/>
        </w:rPr>
        <w:t xml:space="preserve">?(caption)</w:t>
      </w:r>
    </w:p>
    <w:bookmarkEnd w:id="40"/>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1"/>
    <w:bookmarkStart w:id="43" w:name="Xf863bdf3bccc7ec9bf4c12b87830b5b07b4c3d9"/>
    <w:p>
      <w:pPr>
        <w:pStyle w:val="Heading3"/>
      </w:pPr>
      <w:r>
        <w:t xml:space="preserve">Sockeye Salmon | Sqlelten7ùwi | Oncorhynchus nerka</w:t>
      </w:r>
    </w:p>
    <w:bookmarkStart w:id="42" w:name="tbl-sockeye"/>
    <w:p>
      <w:pPr>
        <w:pStyle w:val="FirstParagraph"/>
      </w:pPr>
      <w:r>
        <w:rPr>
          <w:bCs/>
          <w:b/>
        </w:rPr>
        <w:t xml:space="preserve">?(caption)</w:t>
      </w:r>
    </w:p>
    <w:bookmarkEnd w:id="42"/>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3"/>
    <w:bookmarkEnd w:id="44"/>
    <w:bookmarkStart w:id="52"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6" w:name="tbl-barriertype"/>
    <w:bookmarkStart w:id="45" w:name="T_8cdc8"/>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5"/>
    <w:bookmarkEnd w:id="46"/>
    <w:bookmarkStart w:id="47"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7"/>
    <w:bookmarkStart w:id="48" w:name="road-stream-crossings"/>
    <w:p>
      <w:pPr>
        <w:pStyle w:val="Heading3"/>
      </w:pPr>
      <w:r>
        <w:t xml:space="preserve">Road-stream Crossings</w:t>
      </w:r>
    </w:p>
    <w:p>
      <w:pPr>
        <w:pStyle w:val="FirstParagraph"/>
      </w:pPr>
      <w:r>
        <w:t xml:space="preserve">Road-stream crossings are the most abundant barrier type in the watershed, with 70 assessed and modelled crossings located on stream segments with modelled habitat. Demographic road crossings (highways, municipal, and paved roads) block 357.4 km of habitat (~67% of the total blocked habitat), with 94% of assessed crossings having been identified as barriers to fish passage. Resource roads block 357.4 km of habitat (~67%), with 94%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8"/>
    <w:bookmarkStart w:id="49"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49"/>
    <w:bookmarkStart w:id="5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0"/>
    <w:bookmarkStart w:id="51"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1"/>
    <w:bookmarkEnd w:id="52"/>
    <w:bookmarkEnd w:id="53"/>
    <w:bookmarkStart w:id="61" w:name="connectivity-status-assessment-and-goals"/>
    <w:p>
      <w:pPr>
        <w:pStyle w:val="Heading1"/>
      </w:pPr>
      <w:r>
        <w:t xml:space="preserve">Connectivity Status Assessment and Goals</w:t>
      </w:r>
    </w:p>
    <w:bookmarkStart w:id="57"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5" w:name="tbl-connectivity"/>
    <w:bookmarkStart w:id="54" w:name="T_98bf3"/>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74</w:t>
            </w:r>
          </w:p>
        </w:tc>
      </w:tr>
    </w:tbl>
    <w:bookmarkEnd w:id="54"/>
    <w:bookmarkEnd w:id="55"/>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6" w:name="T_202dc"/>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6"/>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7"/>
    <w:bookmarkStart w:id="60" w:name="goals"/>
    <w:p>
      <w:pPr>
        <w:pStyle w:val="Heading2"/>
      </w:pPr>
      <w:r>
        <w:t xml:space="preserve">Goals</w:t>
      </w:r>
    </w:p>
    <w:bookmarkStart w:id="59" w:name="tbl-goals"/>
    <w:bookmarkStart w:id="58" w:name="T_caa7e"/>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8"/>
    <w:bookmarkEnd w:id="59"/>
    <w:bookmarkEnd w:id="60"/>
    <w:bookmarkEnd w:id="61"/>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115.78 km of spawning or rearing habitat (</w:t>
      </w:r>
      <w:hyperlink w:anchor="tbl-table16">
        <w:r>
          <w:rPr>
            <w:rStyle w:val="Hyperlink"/>
          </w:rPr>
          <w:t xml:space="preserve">Table 4</w:t>
        </w:r>
      </w:hyperlink>
      <w:r>
        <w:t xml:space="preserve">):</w:t>
      </w:r>
    </w:p>
    <w:bookmarkStart w:id="63" w:name="tbl-table16"/>
    <w:bookmarkStart w:id="62" w:name="T_4e67b"/>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74%</w:t>
            </w:r>
          </w:p>
        </w:tc>
        <w:tc>
          <w:tcPr/>
          <w:p>
            <w:pPr>
              <w:pStyle w:val="Compact"/>
              <w:jc w:val="left"/>
            </w:pPr>
            <w:r>
              <w:t xml:space="preserve">96%</w:t>
            </w:r>
          </w:p>
        </w:tc>
        <w:tc>
          <w:tcPr/>
          <w:p>
            <w:pPr>
              <w:pStyle w:val="Compact"/>
              <w:jc w:val="left"/>
            </w:pPr>
            <w:r>
              <w:t xml:space="preserve">115.78</w:t>
            </w:r>
          </w:p>
        </w:tc>
      </w:tr>
    </w:tbl>
    <w:bookmarkEnd w:id="62"/>
    <w:bookmarkEnd w:id="63"/>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et al. (2021a)</w:t>
      </w:r>
      <w:r>
        <w:t xml:space="preserve">.</w:t>
      </w:r>
    </w:p>
    <w:bookmarkStart w:id="64"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4"/>
    <w:bookmarkStart w:id="65"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5"/>
    <w:bookmarkStart w:id="66"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6"/>
    <w:bookmarkStart w:id="67" w:name="T_4bb7d"/>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7"/>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a4130"/>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87" w:name="references"/>
    <w:p>
      <w:pPr>
        <w:pStyle w:val="Heading1"/>
      </w:pPr>
      <w:r>
        <w:t xml:space="preserve">References</w:t>
      </w:r>
    </w:p>
    <w:bookmarkStart w:id="86" w:name="refs"/>
    <w:bookmarkStart w:id="79"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79"/>
    <w:bookmarkStart w:id="80"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0"/>
    <w:bookmarkStart w:id="81"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1"/>
    <w:bookmarkStart w:id="8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2"/>
    <w:bookmarkStart w:id="8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3"/>
    <w:bookmarkStart w:id="84"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4"/>
    <w:bookmarkStart w:id="85"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5"/>
    <w:bookmarkEnd w:id="86"/>
    <w:bookmarkEnd w:id="87"/>
    <w:bookmarkStart w:id="89" w:name="version-history"/>
    <w:p>
      <w:pPr>
        <w:pStyle w:val="Heading1"/>
      </w:pPr>
      <w:r>
        <w:t xml:space="preserve">Version History</w:t>
      </w:r>
    </w:p>
    <w:p>
      <w:pPr>
        <w:pStyle w:val="FirstParagraph"/>
      </w:pPr>
      <w:hyperlink r:id="rId88">
        <w:r>
          <w:rPr>
            <w:rStyle w:val="Hyperlink"/>
          </w:rPr>
          <w:t xml:space="preserve">v.1.0 – March 2024</w:t>
        </w:r>
      </w:hyperlink>
    </w:p>
    <w:bookmarkEnd w:id="89"/>
    <w:bookmarkStart w:id="94" w:name="project-partners"/>
    <w:p>
      <w:pPr>
        <w:pStyle w:val="Heading1"/>
      </w:pPr>
      <w:r>
        <w:t xml:space="preserve">Project Partners</w:t>
      </w:r>
    </w:p>
    <w:bookmarkStart w:id="91" w:name="planning-team"/>
    <w:p>
      <w:pPr>
        <w:pStyle w:val="Heading2"/>
      </w:pPr>
      <w:r>
        <w:t xml:space="preserve">Planning Team</w:t>
      </w:r>
    </w:p>
    <w:bookmarkStart w:id="9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0"/>
    <w:bookmarkEnd w:id="91"/>
    <w:bookmarkStart w:id="93" w:name="key-actors"/>
    <w:p>
      <w:pPr>
        <w:pStyle w:val="Heading2"/>
      </w:pPr>
      <w:r>
        <w:t xml:space="preserve">Key Actors</w:t>
      </w:r>
    </w:p>
    <w:bookmarkStart w:id="9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2"/>
    <w:bookmarkEnd w:id="93"/>
    <w:bookmarkEnd w:id="94"/>
    <w:bookmarkStart w:id="138" w:name="supplementary-information"/>
    <w:p>
      <w:pPr>
        <w:pStyle w:val="Heading1"/>
      </w:pPr>
      <w:r>
        <w:t xml:space="preserve">Supplementary Information</w:t>
      </w:r>
    </w:p>
    <w:bookmarkStart w:id="9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8" w:name="fig-sitan"/>
          <w:p>
            <w:pPr>
              <w:jc w:val="center"/>
            </w:pPr>
            <w:r>
              <w:drawing>
                <wp:inline>
                  <wp:extent cx="5334000" cy="3313305"/>
                  <wp:effectExtent b="0" l="0" r="0" t="0"/>
                  <wp:docPr descr="" title="" id="96" name="Picture"/>
                  <a:graphic>
                    <a:graphicData uri="http://schemas.openxmlformats.org/drawingml/2006/picture">
                      <pic:pic>
                        <pic:nvPicPr>
                          <pic:cNvPr descr="content/images/situation-analysis.png" id="97" name="Picture"/>
                          <pic:cNvPicPr>
                            <a:picLocks noChangeArrowheads="1" noChangeAspect="1"/>
                          </pic:cNvPicPr>
                        </pic:nvPicPr>
                        <pic:blipFill>
                          <a:blip r:embed="rId9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98"/>
        </w:tc>
      </w:tr>
    </w:tbl>
    <w:bookmarkEnd w:id="99"/>
    <w:bookmarkStart w:id="100"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0"/>
    <w:bookmarkStart w:id="103" w:name="strategy-1-crossing-remediation"/>
    <w:p>
      <w:pPr>
        <w:pStyle w:val="Heading2"/>
      </w:pPr>
      <w:r>
        <w:t xml:space="preserve">Strategy 1: Crossing Remediation</w:t>
      </w:r>
    </w:p>
    <w:bookmarkStart w:id="102" w:name="tbl-S1"/>
    <w:bookmarkStart w:id="101" w:name="T_3cbea"/>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1"/>
    <w:bookmarkEnd w:id="102"/>
    <w:bookmarkEnd w:id="103"/>
    <w:bookmarkStart w:id="106" w:name="strategy-2-lateral-barrier-remediation"/>
    <w:p>
      <w:pPr>
        <w:pStyle w:val="Heading2"/>
      </w:pPr>
      <w:r>
        <w:t xml:space="preserve">Strategy 2: Lateral Barrier Remediation</w:t>
      </w:r>
    </w:p>
    <w:bookmarkStart w:id="105" w:name="tbl-S2"/>
    <w:bookmarkStart w:id="104" w:name="T_62039"/>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4"/>
    <w:bookmarkEnd w:id="105"/>
    <w:bookmarkEnd w:id="106"/>
    <w:bookmarkStart w:id="109" w:name="strategy-3-dam-remediation"/>
    <w:p>
      <w:pPr>
        <w:pStyle w:val="Heading2"/>
      </w:pPr>
      <w:r>
        <w:t xml:space="preserve">Strategy 3: Dam Remediation</w:t>
      </w:r>
    </w:p>
    <w:bookmarkStart w:id="108" w:name="tbl-S3"/>
    <w:bookmarkStart w:id="107" w:name="T_7678d"/>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7"/>
    <w:bookmarkEnd w:id="108"/>
    <w:bookmarkEnd w:id="109"/>
    <w:bookmarkStart w:id="112" w:name="strategy-4-barrier-prevention"/>
    <w:p>
      <w:pPr>
        <w:pStyle w:val="Heading2"/>
      </w:pPr>
      <w:r>
        <w:t xml:space="preserve">Strategy 4: Barrier Prevention</w:t>
      </w:r>
    </w:p>
    <w:bookmarkStart w:id="111" w:name="tbl-S4"/>
    <w:bookmarkStart w:id="110" w:name="T_bf85b"/>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0"/>
    <w:bookmarkEnd w:id="111"/>
    <w:bookmarkEnd w:id="112"/>
    <w:bookmarkStart w:id="115" w:name="strategy-5-communication-and-education"/>
    <w:p>
      <w:pPr>
        <w:pStyle w:val="Heading2"/>
      </w:pPr>
      <w:r>
        <w:t xml:space="preserve">Strategy 5: Communication and Education</w:t>
      </w:r>
    </w:p>
    <w:bookmarkStart w:id="114" w:name="tbl-S5"/>
    <w:bookmarkStart w:id="113" w:name="T_01ee3"/>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3"/>
    <w:bookmarkEnd w:id="114"/>
    <w:bookmarkEnd w:id="115"/>
    <w:bookmarkStart w:id="132"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9" w:name="fig-stra1"/>
          <w:p>
            <w:pPr>
              <w:jc w:val="center"/>
            </w:pPr>
            <w:r>
              <w:drawing>
                <wp:inline>
                  <wp:extent cx="5334000" cy="2978474"/>
                  <wp:effectExtent b="0" l="0" r="0" t="0"/>
                  <wp:docPr descr="" title="" id="117" name="Picture"/>
                  <a:graphic>
                    <a:graphicData uri="http://schemas.openxmlformats.org/drawingml/2006/picture">
                      <pic:pic>
                        <pic:nvPicPr>
                          <pic:cNvPr descr="content/images/flowchart-crossing-rem.png" id="118" name="Picture"/>
                          <pic:cNvPicPr>
                            <a:picLocks noChangeArrowheads="1" noChangeAspect="1"/>
                          </pic:cNvPicPr>
                        </pic:nvPicPr>
                        <pic:blipFill>
                          <a:blip r:embed="rId11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Theory of change developed by the planning team for the actions identified under Strategy 1: Crossing Remediation in the Horsefly River watershed.</w:t>
            </w:r>
          </w:p>
          <w:bookmarkEnd w:id="11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3" w:name="fig-stra2"/>
          <w:p>
            <w:pPr>
              <w:jc w:val="center"/>
            </w:pPr>
            <w:r>
              <w:drawing>
                <wp:inline>
                  <wp:extent cx="5334000" cy="3283590"/>
                  <wp:effectExtent b="0" l="0" r="0" t="0"/>
                  <wp:docPr descr="" title="" id="121" name="Picture"/>
                  <a:graphic>
                    <a:graphicData uri="http://schemas.openxmlformats.org/drawingml/2006/picture">
                      <pic:pic>
                        <pic:nvPicPr>
                          <pic:cNvPr descr="content/images/flowchart-lat-bar-rem.png" id="122" name="Picture"/>
                          <pic:cNvPicPr>
                            <a:picLocks noChangeArrowheads="1" noChangeAspect="1"/>
                          </pic:cNvPicPr>
                        </pic:nvPicPr>
                        <pic:blipFill>
                          <a:blip r:embed="rId12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2: Lateral Barrier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3"/>
          <w:p>
            <w:pPr>
              <w:jc w:val="center"/>
            </w:pPr>
            <w:r>
              <w:drawing>
                <wp:inline>
                  <wp:extent cx="5334000" cy="2652452"/>
                  <wp:effectExtent b="0" l="0" r="0" t="0"/>
                  <wp:docPr descr="" title="" id="125" name="Picture"/>
                  <a:graphic>
                    <a:graphicData uri="http://schemas.openxmlformats.org/drawingml/2006/picture">
                      <pic:pic>
                        <pic:nvPicPr>
                          <pic:cNvPr descr="content/images/flowchart-dam-rem.png" id="126" name="Picture"/>
                          <pic:cNvPicPr>
                            <a:picLocks noChangeArrowheads="1" noChangeAspect="1"/>
                          </pic:cNvPicPr>
                        </pic:nvPicPr>
                        <pic:blipFill>
                          <a:blip r:embed="rId12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3: Dam Remediation in the Horsefly River watershed.</w:t>
            </w:r>
          </w:p>
          <w:bookmarkEnd w:id="1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stra4"/>
          <w:p>
            <w:pPr>
              <w:jc w:val="center"/>
            </w:pPr>
            <w:r>
              <w:drawing>
                <wp:inline>
                  <wp:extent cx="5334000" cy="3229103"/>
                  <wp:effectExtent b="0" l="0" r="0" t="0"/>
                  <wp:docPr descr="" title="" id="129" name="Picture"/>
                  <a:graphic>
                    <a:graphicData uri="http://schemas.openxmlformats.org/drawingml/2006/picture">
                      <pic:pic>
                        <pic:nvPicPr>
                          <pic:cNvPr descr="content/images/flowchart-bar-prevent.png" id="130" name="Picture"/>
                          <pic:cNvPicPr>
                            <a:picLocks noChangeArrowheads="1" noChangeAspect="1"/>
                          </pic:cNvPicPr>
                        </pic:nvPicPr>
                        <pic:blipFill>
                          <a:blip r:embed="rId12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4: Barrier Prevention in the Horsefly River watershed.</w:t>
            </w:r>
          </w:p>
          <w:bookmarkEnd w:id="131"/>
        </w:tc>
      </w:tr>
    </w:tbl>
    <w:bookmarkEnd w:id="132"/>
    <w:bookmarkStart w:id="135"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4" w:name="tbl-opplan"/>
    <w:bookmarkStart w:id="133" w:name="T_cc7ac"/>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3"/>
    <w:bookmarkEnd w:id="134"/>
    <w:bookmarkEnd w:id="135"/>
    <w:bookmarkStart w:id="137" w:name="funding-sources"/>
    <w:p>
      <w:pPr>
        <w:pStyle w:val="Heading2"/>
      </w:pPr>
      <w:r>
        <w:t xml:space="preserve">Funding Sources</w:t>
      </w:r>
    </w:p>
    <w:bookmarkStart w:id="136"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6"/>
    <w:bookmarkEnd w:id="137"/>
    <w:bookmarkEnd w:id="138"/>
    <w:bookmarkStart w:id="147" w:name="data-download-and-methods"/>
    <w:p>
      <w:pPr>
        <w:pStyle w:val="Heading1"/>
      </w:pPr>
      <w:r>
        <w:t xml:space="preserve">Data Download and Methods</w:t>
      </w:r>
    </w:p>
    <w:bookmarkStart w:id="144"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39">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3" w:name="fig-over"/>
          <w:p>
            <w:pPr>
              <w:jc w:val="center"/>
            </w:pPr>
            <w:r>
              <w:drawing>
                <wp:inline>
                  <wp:extent cx="4825573" cy="3918857"/>
                  <wp:effectExtent b="0" l="0" r="0" t="0"/>
                  <wp:docPr descr="" title="" id="141" name="Picture"/>
                  <a:graphic>
                    <a:graphicData uri="http://schemas.openxmlformats.org/drawingml/2006/picture">
                      <pic:pic>
                        <pic:nvPicPr>
                          <pic:cNvPr descr="content/images/overview-map-hors.png" id="142" name="Picture"/>
                          <pic:cNvPicPr>
                            <a:picLocks noChangeArrowheads="1" noChangeAspect="1"/>
                          </pic:cNvPicPr>
                        </pic:nvPicPr>
                        <pic:blipFill>
                          <a:blip r:embed="rId140"/>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Horsefly River watershed overview map identifying the portions of the watershed covered by each map sheet (grey squares) and the prioritized barriers on the intermediate barrier list (orange points; see Appendix B).</w:t>
            </w:r>
          </w:p>
          <w:bookmarkEnd w:id="143"/>
        </w:tc>
      </w:tr>
    </w:tbl>
    <w:bookmarkEnd w:id="144"/>
    <w:bookmarkStart w:id="14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28" Target="media/rId128.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26" Target="media/rId26.png" /><Relationship Type="http://schemas.openxmlformats.org/officeDocument/2006/relationships/image" Id="rId140" Target="media/rId140.png" /><Relationship Type="http://schemas.openxmlformats.org/officeDocument/2006/relationships/image" Id="rId95" Target="media/rId95.png" /><Relationship Type="http://schemas.openxmlformats.org/officeDocument/2006/relationships/image" Id="rId20" Target="media/rId20.jpg" /><Relationship Type="http://schemas.openxmlformats.org/officeDocument/2006/relationships/hyperlink" Id="rId30" Target="https://catalogue.data.gov.bc.ca/dataset/freshwater-atlas-watershed-groups" TargetMode="External" /><Relationship Type="http://schemas.openxmlformats.org/officeDocument/2006/relationships/hyperlink" Id="rId139" Target="https://github.com/smnorris/bcfishpass/tree/main/wcrp/pdfs" TargetMode="External" /><Relationship Type="http://schemas.openxmlformats.org/officeDocument/2006/relationships/hyperlink" Id="rId88"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0" Target="https://catalogue.data.gov.bc.ca/dataset/freshwater-atlas-watershed-groups" TargetMode="External" /><Relationship Type="http://schemas.openxmlformats.org/officeDocument/2006/relationships/hyperlink" Id="rId139" Target="https://github.com/smnorris/bcfishpass/tree/main/wcrp/pdfs" TargetMode="External" /><Relationship Type="http://schemas.openxmlformats.org/officeDocument/2006/relationships/hyperlink" Id="rId88"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2024-04-29T20:59:00Z</dcterms:created>
  <dcterms:modified xsi:type="dcterms:W3CDTF">2024-04-29T20:59:00Z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29-04-2024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